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jc w:val="center"/>
        <w:tblCellSpacing w:w="0" w:type="dxa"/>
        <w:shd w:val="clear" w:color="auto" w:fill="FFFFFF"/>
        <w:tblCellMar>
          <w:top w:w="120" w:type="dxa"/>
          <w:left w:w="120" w:type="dxa"/>
          <w:bottom w:w="120" w:type="dxa"/>
          <w:right w:w="120" w:type="dxa"/>
        </w:tblCellMar>
        <w:tblLook w:val="04A0"/>
      </w:tblPr>
      <w:tblGrid>
        <w:gridCol w:w="11760"/>
      </w:tblGrid>
      <w:tr w:rsidR="00D541F7" w:rsidRPr="00D541F7" w:rsidTr="00D541F7">
        <w:trPr>
          <w:tblCellSpacing w:w="0" w:type="dxa"/>
          <w:jc w:val="center"/>
        </w:trPr>
        <w:tc>
          <w:tcPr>
            <w:tcW w:w="0" w:type="auto"/>
            <w:shd w:val="clear" w:color="auto" w:fill="FFFFFF"/>
            <w:vAlign w:val="center"/>
            <w:hideMark/>
          </w:tcPr>
          <w:tbl>
            <w:tblPr>
              <w:tblW w:w="11520" w:type="dxa"/>
              <w:jc w:val="center"/>
              <w:tblCellSpacing w:w="0" w:type="dxa"/>
              <w:shd w:val="clear" w:color="auto" w:fill="CCCCCC"/>
              <w:tblCellMar>
                <w:top w:w="15" w:type="dxa"/>
                <w:left w:w="15" w:type="dxa"/>
                <w:bottom w:w="15" w:type="dxa"/>
                <w:right w:w="15" w:type="dxa"/>
              </w:tblCellMar>
              <w:tblLook w:val="04A0"/>
            </w:tblPr>
            <w:tblGrid>
              <w:gridCol w:w="11520"/>
            </w:tblGrid>
            <w:tr w:rsidR="00D541F7" w:rsidRPr="00D541F7">
              <w:trPr>
                <w:tblCellSpacing w:w="0" w:type="dxa"/>
                <w:jc w:val="center"/>
              </w:trPr>
              <w:tc>
                <w:tcPr>
                  <w:tcW w:w="0" w:type="auto"/>
                  <w:shd w:val="clear" w:color="auto" w:fill="CCCCCC"/>
                  <w:vAlign w:val="center"/>
                  <w:hideMark/>
                </w:tcPr>
                <w:tbl>
                  <w:tblPr>
                    <w:tblpPr w:leftFromText="45" w:rightFromText="45" w:vertAnchor="text" w:tblpXSpec="right" w:tblpYSpec="center"/>
                    <w:tblW w:w="5000" w:type="pct"/>
                    <w:tblCellSpacing w:w="0" w:type="dxa"/>
                    <w:tblCellMar>
                      <w:left w:w="0" w:type="dxa"/>
                      <w:right w:w="0" w:type="dxa"/>
                    </w:tblCellMar>
                    <w:tblLook w:val="04A0"/>
                  </w:tblPr>
                  <w:tblGrid>
                    <w:gridCol w:w="11490"/>
                  </w:tblGrid>
                  <w:tr w:rsidR="00D541F7" w:rsidRPr="00D541F7">
                    <w:trPr>
                      <w:trHeight w:val="360"/>
                      <w:tblCellSpacing w:w="0" w:type="dxa"/>
                    </w:trPr>
                    <w:tc>
                      <w:tcPr>
                        <w:tcW w:w="0" w:type="auto"/>
                        <w:shd w:val="clear" w:color="auto" w:fill="FFFFFF"/>
                        <w:vAlign w:val="center"/>
                        <w:hideMark/>
                      </w:tcPr>
                      <w:tbl>
                        <w:tblPr>
                          <w:tblW w:w="4750" w:type="pct"/>
                          <w:jc w:val="center"/>
                          <w:tblCellSpacing w:w="0" w:type="dxa"/>
                          <w:tblCellMar>
                            <w:left w:w="0" w:type="dxa"/>
                            <w:right w:w="0" w:type="dxa"/>
                          </w:tblCellMar>
                          <w:tblLook w:val="04A0"/>
                        </w:tblPr>
                        <w:tblGrid>
                          <w:gridCol w:w="10916"/>
                        </w:tblGrid>
                        <w:tr w:rsidR="00D541F7" w:rsidRPr="00D541F7">
                          <w:trPr>
                            <w:tblCellSpacing w:w="0" w:type="dxa"/>
                            <w:jc w:val="center"/>
                          </w:trPr>
                          <w:tc>
                            <w:tcPr>
                              <w:tcW w:w="0" w:type="auto"/>
                              <w:hideMark/>
                            </w:tcPr>
                            <w:tbl>
                              <w:tblPr>
                                <w:tblW w:w="5000" w:type="pct"/>
                                <w:tblCellSpacing w:w="0" w:type="dxa"/>
                                <w:tblCellMar>
                                  <w:top w:w="75" w:type="dxa"/>
                                  <w:left w:w="75" w:type="dxa"/>
                                  <w:bottom w:w="75" w:type="dxa"/>
                                  <w:right w:w="75" w:type="dxa"/>
                                </w:tblCellMar>
                                <w:tblLook w:val="04A0"/>
                              </w:tblPr>
                              <w:tblGrid>
                                <w:gridCol w:w="10916"/>
                              </w:tblGrid>
                              <w:tr w:rsidR="00D541F7" w:rsidRPr="00D541F7">
                                <w:trPr>
                                  <w:tblCellSpacing w:w="0" w:type="dxa"/>
                                </w:trPr>
                                <w:tc>
                                  <w:tcPr>
                                    <w:tcW w:w="0" w:type="auto"/>
                                    <w:hideMark/>
                                  </w:tcPr>
                                  <w:tbl>
                                    <w:tblPr>
                                      <w:tblW w:w="5000" w:type="pct"/>
                                      <w:tblCellSpacing w:w="0" w:type="dxa"/>
                                      <w:tblCellMar>
                                        <w:top w:w="15" w:type="dxa"/>
                                        <w:left w:w="15" w:type="dxa"/>
                                        <w:bottom w:w="15" w:type="dxa"/>
                                        <w:right w:w="15" w:type="dxa"/>
                                      </w:tblCellMar>
                                      <w:tblLook w:val="04A0"/>
                                    </w:tblPr>
                                    <w:tblGrid>
                                      <w:gridCol w:w="10766"/>
                                    </w:tblGrid>
                                    <w:tr w:rsidR="00D541F7" w:rsidRPr="00D541F7">
                                      <w:trPr>
                                        <w:tblCellSpacing w:w="0" w:type="dxa"/>
                                      </w:trPr>
                                      <w:tc>
                                        <w:tcPr>
                                          <w:tcW w:w="0" w:type="auto"/>
                                          <w:vAlign w:val="center"/>
                                          <w:hideMark/>
                                        </w:tcPr>
                                        <w:tbl>
                                          <w:tblPr>
                                            <w:tblW w:w="9900" w:type="dxa"/>
                                            <w:tblCellSpacing w:w="0" w:type="dxa"/>
                                            <w:tblCellMar>
                                              <w:left w:w="0" w:type="dxa"/>
                                              <w:right w:w="0" w:type="dxa"/>
                                            </w:tblCellMar>
                                            <w:tblLook w:val="04A0"/>
                                          </w:tblPr>
                                          <w:tblGrid>
                                            <w:gridCol w:w="525"/>
                                            <w:gridCol w:w="6390"/>
                                            <w:gridCol w:w="600"/>
                                            <w:gridCol w:w="1920"/>
                                            <w:gridCol w:w="495"/>
                                          </w:tblGrid>
                                          <w:tr w:rsidR="00D541F7" w:rsidRPr="00D541F7">
                                            <w:trPr>
                                              <w:tblCellSpacing w:w="0" w:type="dxa"/>
                                            </w:trPr>
                                            <w:tc>
                                              <w:tcPr>
                                                <w:tcW w:w="0" w:type="auto"/>
                                                <w:gridSpan w:val="5"/>
                                                <w:vAlign w:val="center"/>
                                                <w:hideMark/>
                                              </w:tcPr>
                                              <w:p w:rsidR="00D541F7" w:rsidRPr="00D541F7" w:rsidRDefault="00D541F7" w:rsidP="00D541F7">
                                                <w:pPr>
                                                  <w:spacing w:after="0" w:line="240" w:lineRule="auto"/>
                                                  <w:rPr>
                                                    <w:rFonts w:ascii="Verdana" w:eastAsia="Times New Roman" w:hAnsi="Verdana" w:cs="Times New Roman"/>
                                                    <w:color w:val="000000"/>
                                                    <w:sz w:val="17"/>
                                                    <w:szCs w:val="17"/>
                                                    <w:lang w:eastAsia="en-GB"/>
                                                  </w:rPr>
                                                </w:pPr>
                                                <w:r>
                                                  <w:rPr>
                                                    <w:rFonts w:ascii="Verdana" w:eastAsia="Times New Roman" w:hAnsi="Verdana" w:cs="Times New Roman"/>
                                                    <w:noProof/>
                                                    <w:color w:val="000000"/>
                                                    <w:sz w:val="17"/>
                                                    <w:szCs w:val="17"/>
                                                    <w:lang w:eastAsia="en-GB"/>
                                                  </w:rPr>
                                                  <w:drawing>
                                                    <wp:inline distT="0" distB="0" distL="0" distR="0">
                                                      <wp:extent cx="6286500" cy="304800"/>
                                                      <wp:effectExtent l="19050" t="0" r="0" b="0"/>
                                                      <wp:docPr id="1" name="Picture 1" descr="http://www.burnsguitars.com/articles/articles_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urnsguitars.com/articles/articles_header.gif"/>
                                                              <pic:cNvPicPr>
                                                                <a:picLocks noChangeAspect="1" noChangeArrowheads="1"/>
                                                              </pic:cNvPicPr>
                                                            </pic:nvPicPr>
                                                            <pic:blipFill>
                                                              <a:blip r:embed="rId4" cstate="print"/>
                                                              <a:srcRect/>
                                                              <a:stretch>
                                                                <a:fillRect/>
                                                              </a:stretch>
                                                            </pic:blipFill>
                                                            <pic:spPr bwMode="auto">
                                                              <a:xfrm>
                                                                <a:off x="0" y="0"/>
                                                                <a:ext cx="6286500" cy="304800"/>
                                                              </a:xfrm>
                                                              <a:prstGeom prst="rect">
                                                                <a:avLst/>
                                                              </a:prstGeom>
                                                              <a:noFill/>
                                                              <a:ln w="9525">
                                                                <a:noFill/>
                                                                <a:miter lim="800000"/>
                                                                <a:headEnd/>
                                                                <a:tailEnd/>
                                                              </a:ln>
                                                            </pic:spPr>
                                                          </pic:pic>
                                                        </a:graphicData>
                                                      </a:graphic>
                                                    </wp:inline>
                                                  </w:drawing>
                                                </w:r>
                                              </w:p>
                                            </w:tc>
                                          </w:tr>
                                          <w:tr w:rsidR="00D541F7" w:rsidRPr="00D541F7">
                                            <w:trPr>
                                              <w:tblCellSpacing w:w="0" w:type="dxa"/>
                                            </w:trPr>
                                            <w:tc>
                                              <w:tcPr>
                                                <w:tcW w:w="525" w:type="dxa"/>
                                                <w:vAlign w:val="center"/>
                                                <w:hideMark/>
                                              </w:tcPr>
                                              <w:p w:rsidR="00D541F7" w:rsidRPr="00D541F7" w:rsidRDefault="00D541F7" w:rsidP="00D541F7">
                                                <w:pPr>
                                                  <w:spacing w:after="0" w:line="240" w:lineRule="auto"/>
                                                  <w:rPr>
                                                    <w:rFonts w:ascii="Verdana" w:eastAsia="Times New Roman" w:hAnsi="Verdana" w:cs="Times New Roman"/>
                                                    <w:color w:val="000000"/>
                                                    <w:sz w:val="17"/>
                                                    <w:szCs w:val="17"/>
                                                    <w:lang w:eastAsia="en-GB"/>
                                                  </w:rPr>
                                                </w:pPr>
                                              </w:p>
                                            </w:tc>
                                            <w:tc>
                                              <w:tcPr>
                                                <w:tcW w:w="6360" w:type="dxa"/>
                                                <w:hideMark/>
                                              </w:tcPr>
                                              <w:p w:rsidR="00D541F7" w:rsidRPr="00D541F7" w:rsidRDefault="00D541F7" w:rsidP="00D541F7">
                                                <w:pPr>
                                                  <w:spacing w:after="0" w:line="240" w:lineRule="auto"/>
                                                  <w:rPr>
                                                    <w:rFonts w:ascii="Verdana" w:eastAsia="Times New Roman" w:hAnsi="Verdana" w:cs="Times New Roman"/>
                                                    <w:color w:val="000000"/>
                                                    <w:sz w:val="17"/>
                                                    <w:szCs w:val="17"/>
                                                    <w:lang w:eastAsia="en-GB"/>
                                                  </w:rPr>
                                                </w:pPr>
                                                <w:r>
                                                  <w:rPr>
                                                    <w:rFonts w:ascii="Verdana" w:eastAsia="Times New Roman" w:hAnsi="Verdana" w:cs="Times New Roman"/>
                                                    <w:noProof/>
                                                    <w:color w:val="000000"/>
                                                    <w:sz w:val="17"/>
                                                    <w:szCs w:val="17"/>
                                                    <w:lang w:eastAsia="en-GB"/>
                                                  </w:rPr>
                                                  <w:drawing>
                                                    <wp:inline distT="0" distB="0" distL="0" distR="0">
                                                      <wp:extent cx="4038600" cy="2419350"/>
                                                      <wp:effectExtent l="19050" t="0" r="0" b="0"/>
                                                      <wp:docPr id="2" name="Picture 2" descr="http://www.burnsguitars.com/articles/article4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urnsguitars.com/articles/article4_main.jpg"/>
                                                              <pic:cNvPicPr>
                                                                <a:picLocks noChangeAspect="1" noChangeArrowheads="1"/>
                                                              </pic:cNvPicPr>
                                                            </pic:nvPicPr>
                                                            <pic:blipFill>
                                                              <a:blip r:embed="rId5" cstate="print"/>
                                                              <a:srcRect/>
                                                              <a:stretch>
                                                                <a:fillRect/>
                                                              </a:stretch>
                                                            </pic:blipFill>
                                                            <pic:spPr bwMode="auto">
                                                              <a:xfrm>
                                                                <a:off x="0" y="0"/>
                                                                <a:ext cx="4038600" cy="2419350"/>
                                                              </a:xfrm>
                                                              <a:prstGeom prst="rect">
                                                                <a:avLst/>
                                                              </a:prstGeom>
                                                              <a:noFill/>
                                                              <a:ln w="9525">
                                                                <a:noFill/>
                                                                <a:miter lim="800000"/>
                                                                <a:headEnd/>
                                                                <a:tailEnd/>
                                                              </a:ln>
                                                            </pic:spPr>
                                                          </pic:pic>
                                                        </a:graphicData>
                                                      </a:graphic>
                                                    </wp:inline>
                                                  </w:drawing>
                                                </w:r>
                                              </w:p>
                                              <w:p w:rsidR="00D541F7" w:rsidRPr="00D541F7" w:rsidRDefault="00D541F7" w:rsidP="00D541F7">
                                                <w:pPr>
                                                  <w:spacing w:before="100" w:beforeAutospacing="1" w:after="0" w:line="240" w:lineRule="auto"/>
                                                  <w:outlineLvl w:val="0"/>
                                                  <w:rPr>
                                                    <w:rFonts w:ascii="Arial Narrow" w:eastAsia="Times New Roman" w:hAnsi="Arial Narrow" w:cs="Times New Roman"/>
                                                    <w:color w:val="000000"/>
                                                    <w:spacing w:val="-7"/>
                                                    <w:kern w:val="36"/>
                                                    <w:sz w:val="45"/>
                                                    <w:szCs w:val="45"/>
                                                    <w:lang w:eastAsia="en-GB"/>
                                                  </w:rPr>
                                                </w:pPr>
                                                <w:r w:rsidRPr="00D541F7">
                                                  <w:rPr>
                                                    <w:rFonts w:ascii="Arial Narrow" w:eastAsia="Times New Roman" w:hAnsi="Arial Narrow" w:cs="Times New Roman"/>
                                                    <w:color w:val="000000"/>
                                                    <w:spacing w:val="-7"/>
                                                    <w:kern w:val="36"/>
                                                    <w:sz w:val="45"/>
                                                    <w:szCs w:val="45"/>
                                                    <w:lang w:eastAsia="en-GB"/>
                                                  </w:rPr>
                                                  <w:t>APACHE!</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b/>
                                                    <w:bCs/>
                                                    <w:i/>
                                                    <w:iCs/>
                                                    <w:color w:val="000000"/>
                                                    <w:sz w:val="17"/>
                                                    <w:szCs w:val="17"/>
                                                    <w:lang w:eastAsia="en-GB"/>
                                                  </w:rPr>
                                                  <w:t xml:space="preserve">This limited-edition burns celebrates 50 years of the Shadows, but it's not just for fans of Hank, as Paul </w:t>
                                                </w:r>
                                                <w:proofErr w:type="spellStart"/>
                                                <w:r w:rsidRPr="00D541F7">
                                                  <w:rPr>
                                                    <w:rFonts w:ascii="Verdana" w:eastAsia="Times New Roman" w:hAnsi="Verdana" w:cs="Times New Roman"/>
                                                    <w:b/>
                                                    <w:bCs/>
                                                    <w:i/>
                                                    <w:iCs/>
                                                    <w:color w:val="000000"/>
                                                    <w:sz w:val="17"/>
                                                    <w:szCs w:val="17"/>
                                                    <w:lang w:eastAsia="en-GB"/>
                                                  </w:rPr>
                                                  <w:t>Alcantara</w:t>
                                                </w:r>
                                                <w:proofErr w:type="spellEnd"/>
                                                <w:r w:rsidRPr="00D541F7">
                                                  <w:rPr>
                                                    <w:rFonts w:ascii="Verdana" w:eastAsia="Times New Roman" w:hAnsi="Verdana" w:cs="Times New Roman"/>
                                                    <w:b/>
                                                    <w:bCs/>
                                                    <w:i/>
                                                    <w:iCs/>
                                                    <w:color w:val="000000"/>
                                                    <w:sz w:val="17"/>
                                                    <w:szCs w:val="17"/>
                                                    <w:lang w:eastAsia="en-GB"/>
                                                  </w:rPr>
                                                  <w:t xml:space="preserve"> discovers</w:t>
                                                </w:r>
                                                <w:r w:rsidRPr="00D541F7">
                                                  <w:rPr>
                                                    <w:rFonts w:ascii="Verdana" w:eastAsia="Times New Roman" w:hAnsi="Verdana" w:cs="Times New Roman"/>
                                                    <w:color w:val="000000"/>
                                                    <w:sz w:val="17"/>
                                                    <w:szCs w:val="17"/>
                                                    <w:lang w:eastAsia="en-GB"/>
                                                  </w:rPr>
                                                  <w:t xml:space="preserve">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 xml:space="preserve">Launched back in 1964, the Burns Marvin was designed to meet the needs of Hank Marvin, lead guitarist with British instrumental group the Shadows. Taking Hank's Fender Stratocaster as a point of departure, the new model incorporated various 'improvements' including Burns' new </w:t>
                                                </w:r>
                                                <w:proofErr w:type="spellStart"/>
                                                <w:r w:rsidRPr="00D541F7">
                                                  <w:rPr>
                                                    <w:rFonts w:ascii="Verdana" w:eastAsia="Times New Roman" w:hAnsi="Verdana" w:cs="Times New Roman"/>
                                                    <w:color w:val="000000"/>
                                                    <w:sz w:val="17"/>
                                                    <w:szCs w:val="17"/>
                                                    <w:lang w:eastAsia="en-GB"/>
                                                  </w:rPr>
                                                  <w:t>Rez</w:t>
                                                </w:r>
                                                <w:proofErr w:type="spellEnd"/>
                                                <w:r w:rsidRPr="00D541F7">
                                                  <w:rPr>
                                                    <w:rFonts w:ascii="Verdana" w:eastAsia="Times New Roman" w:hAnsi="Verdana" w:cs="Times New Roman"/>
                                                    <w:color w:val="000000"/>
                                                    <w:sz w:val="17"/>
                                                    <w:szCs w:val="17"/>
                                                    <w:lang w:eastAsia="en-GB"/>
                                                  </w:rPr>
                                                  <w:t xml:space="preserve">-o-Tube vibrato unit and </w:t>
                                                </w:r>
                                                <w:proofErr w:type="spellStart"/>
                                                <w:r w:rsidRPr="00D541F7">
                                                  <w:rPr>
                                                    <w:rFonts w:ascii="Verdana" w:eastAsia="Times New Roman" w:hAnsi="Verdana" w:cs="Times New Roman"/>
                                                    <w:color w:val="000000"/>
                                                    <w:sz w:val="17"/>
                                                    <w:szCs w:val="17"/>
                                                    <w:lang w:eastAsia="en-GB"/>
                                                  </w:rPr>
                                                  <w:t>Rez</w:t>
                                                </w:r>
                                                <w:proofErr w:type="spellEnd"/>
                                                <w:r w:rsidRPr="00D541F7">
                                                  <w:rPr>
                                                    <w:rFonts w:ascii="Verdana" w:eastAsia="Times New Roman" w:hAnsi="Verdana" w:cs="Times New Roman"/>
                                                    <w:color w:val="000000"/>
                                                    <w:sz w:val="17"/>
                                                    <w:szCs w:val="17"/>
                                                    <w:lang w:eastAsia="en-GB"/>
                                                  </w:rPr>
                                                  <w:t>-o-</w:t>
                                                </w:r>
                                                <w:proofErr w:type="spellStart"/>
                                                <w:r w:rsidRPr="00D541F7">
                                                  <w:rPr>
                                                    <w:rFonts w:ascii="Verdana" w:eastAsia="Times New Roman" w:hAnsi="Verdana" w:cs="Times New Roman"/>
                                                    <w:color w:val="000000"/>
                                                    <w:sz w:val="17"/>
                                                    <w:szCs w:val="17"/>
                                                    <w:lang w:eastAsia="en-GB"/>
                                                  </w:rPr>
                                                  <w:t>Matik</w:t>
                                                </w:r>
                                                <w:proofErr w:type="spellEnd"/>
                                                <w:r w:rsidRPr="00D541F7">
                                                  <w:rPr>
                                                    <w:rFonts w:ascii="Verdana" w:eastAsia="Times New Roman" w:hAnsi="Verdana" w:cs="Times New Roman"/>
                                                    <w:color w:val="000000"/>
                                                    <w:sz w:val="17"/>
                                                    <w:szCs w:val="17"/>
                                                    <w:lang w:eastAsia="en-GB"/>
                                                  </w:rPr>
                                                  <w:t xml:space="preserve"> pickups.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 xml:space="preserve">Like an early 1960s Stratocaster, the Burns Marvin had off-set cutaways, a bolt-on neck, </w:t>
                                                </w:r>
                                                <w:proofErr w:type="gramStart"/>
                                                <w:r w:rsidRPr="00D541F7">
                                                  <w:rPr>
                                                    <w:rFonts w:ascii="Verdana" w:eastAsia="Times New Roman" w:hAnsi="Verdana" w:cs="Times New Roman"/>
                                                    <w:color w:val="000000"/>
                                                    <w:sz w:val="17"/>
                                                    <w:szCs w:val="17"/>
                                                    <w:lang w:eastAsia="en-GB"/>
                                                  </w:rPr>
                                                  <w:t>rosewood</w:t>
                                                </w:r>
                                                <w:proofErr w:type="gramEnd"/>
                                                <w:r w:rsidRPr="00D541F7">
                                                  <w:rPr>
                                                    <w:rFonts w:ascii="Verdana" w:eastAsia="Times New Roman" w:hAnsi="Verdana" w:cs="Times New Roman"/>
                                                    <w:color w:val="000000"/>
                                                    <w:sz w:val="17"/>
                                                    <w:szCs w:val="17"/>
                                                    <w:lang w:eastAsia="en-GB"/>
                                                  </w:rPr>
                                                  <w:t xml:space="preserve"> fingerboard and 25.5-inch scale length. The circuitry was virtually identical to that of the Fender, though details such as the three-a-side scroll headstock (a feature suggested by Hank Marvin himself) and three-section split </w:t>
                                                </w:r>
                                                <w:proofErr w:type="spellStart"/>
                                                <w:r w:rsidRPr="00D541F7">
                                                  <w:rPr>
                                                    <w:rFonts w:ascii="Verdana" w:eastAsia="Times New Roman" w:hAnsi="Verdana" w:cs="Times New Roman"/>
                                                    <w:color w:val="000000"/>
                                                    <w:sz w:val="17"/>
                                                    <w:szCs w:val="17"/>
                                                    <w:lang w:eastAsia="en-GB"/>
                                                  </w:rPr>
                                                  <w:t>pickguard</w:t>
                                                </w:r>
                                                <w:proofErr w:type="spellEnd"/>
                                                <w:r w:rsidRPr="00D541F7">
                                                  <w:rPr>
                                                    <w:rFonts w:ascii="Verdana" w:eastAsia="Times New Roman" w:hAnsi="Verdana" w:cs="Times New Roman"/>
                                                    <w:color w:val="000000"/>
                                                    <w:sz w:val="17"/>
                                                    <w:szCs w:val="17"/>
                                                    <w:lang w:eastAsia="en-GB"/>
                                                  </w:rPr>
                                                  <w:t xml:space="preserve"> lent the model a distinct visual identity of its own.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 xml:space="preserve">Priced at £173 (around £2,450 in today's money) the Marvin was Burns' flagship model. Around 400 original </w:t>
                                                </w:r>
                                                <w:proofErr w:type="spellStart"/>
                                                <w:r w:rsidRPr="00D541F7">
                                                  <w:rPr>
                                                    <w:rFonts w:ascii="Verdana" w:eastAsia="Times New Roman" w:hAnsi="Verdana" w:cs="Times New Roman"/>
                                                    <w:color w:val="000000"/>
                                                    <w:sz w:val="17"/>
                                                    <w:szCs w:val="17"/>
                                                    <w:lang w:eastAsia="en-GB"/>
                                                  </w:rPr>
                                                  <w:t>Marvins</w:t>
                                                </w:r>
                                                <w:proofErr w:type="spellEnd"/>
                                                <w:r w:rsidRPr="00D541F7">
                                                  <w:rPr>
                                                    <w:rFonts w:ascii="Verdana" w:eastAsia="Times New Roman" w:hAnsi="Verdana" w:cs="Times New Roman"/>
                                                    <w:color w:val="000000"/>
                                                    <w:sz w:val="17"/>
                                                    <w:szCs w:val="17"/>
                                                    <w:lang w:eastAsia="en-GB"/>
                                                  </w:rPr>
                                                  <w:t xml:space="preserve"> were produced and today vintage examples can change hands for up to £7,000. Since the Burns brand was successfully re-launched in the early 1990s, we have seen the reissue of around five Marvin-style models of varying authenticity, and though the new Apache model deviates from the original in a number of significant details, it is, according to Burns London's head honcho Barry Gibson, "the most accurate to date in terms of sound and feel".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 xml:space="preserve">Celebrating the 50th anniversary of the Shadows' formation, this Apache is limited to a run of just 500 examples, adding extra desirability to an already enticing prospect.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 xml:space="preserve">BODY &amp; NECK </w:t>
                                                </w:r>
                                                <w:r w:rsidRPr="00D541F7">
                                                  <w:rPr>
                                                    <w:rFonts w:ascii="Verdana" w:eastAsia="Times New Roman" w:hAnsi="Verdana" w:cs="Times New Roman"/>
                                                    <w:color w:val="000000"/>
                                                    <w:sz w:val="17"/>
                                                    <w:szCs w:val="17"/>
                                                    <w:lang w:eastAsia="en-GB"/>
                                                  </w:rPr>
                                                  <w:br/>
                                                  <w:t xml:space="preserve">First off, let's </w:t>
                                                </w:r>
                                                <w:proofErr w:type="gramStart"/>
                                                <w:r w:rsidRPr="00D541F7">
                                                  <w:rPr>
                                                    <w:rFonts w:ascii="Verdana" w:eastAsia="Times New Roman" w:hAnsi="Verdana" w:cs="Times New Roman"/>
                                                    <w:color w:val="000000"/>
                                                    <w:sz w:val="17"/>
                                                    <w:szCs w:val="17"/>
                                                    <w:lang w:eastAsia="en-GB"/>
                                                  </w:rPr>
                                                  <w:t>clear</w:t>
                                                </w:r>
                                                <w:proofErr w:type="gramEnd"/>
                                                <w:r w:rsidRPr="00D541F7">
                                                  <w:rPr>
                                                    <w:rFonts w:ascii="Verdana" w:eastAsia="Times New Roman" w:hAnsi="Verdana" w:cs="Times New Roman"/>
                                                    <w:color w:val="000000"/>
                                                    <w:sz w:val="17"/>
                                                    <w:szCs w:val="17"/>
                                                    <w:lang w:eastAsia="en-GB"/>
                                                  </w:rPr>
                                                  <w:t xml:space="preserve"> up any confusion regarding the guitar's name. "We first used the Apache name for a custom shop run of 25 Marvin-style guitars that were built back in the late 1990s," explains Barry Gibson. "'Apache' was the Shads' biggest selling record — it topped the charts for seven weeks in 1960. So what better name for a model that commemorates the band's 50th anniversary?"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lastRenderedPageBreak/>
                                                  <w:t xml:space="preserve">The Apache's rather imposing double-cutaway alder body displays the usual comfort contours in the forearm and ribcage areas and, like the original, it's finished in glossy white polyester. Of the 500 guitars that will be built, 50 will feature a fiesta red finish instead.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 xml:space="preserve">12 will also be made left-handed, all in white. Despite the fact that the neck pocket has been redesigned, upper fingerboard access is compromised to a degree by the guitar's relatively bulky heel join. To be fair, the Fender Stratocaster suffers from much the same problem, and fans of vintage Burns guitars would no doubt look askance at any attempt to radically alter the original design.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 xml:space="preserve">Constructed from a single section of handsomely figured Canadian hard rock maple, the neck has a comfortable C-shaped profile that, not surprisingly, reminds us of the necks found on early 1960s Fenders. It's neatly bound with grey </w:t>
                                                </w:r>
                                                <w:proofErr w:type="spellStart"/>
                                                <w:r w:rsidRPr="00D541F7">
                                                  <w:rPr>
                                                    <w:rFonts w:ascii="Verdana" w:eastAsia="Times New Roman" w:hAnsi="Verdana" w:cs="Times New Roman"/>
                                                    <w:color w:val="000000"/>
                                                    <w:sz w:val="17"/>
                                                    <w:szCs w:val="17"/>
                                                    <w:lang w:eastAsia="en-GB"/>
                                                  </w:rPr>
                                                  <w:t>pearloid</w:t>
                                                </w:r>
                                                <w:proofErr w:type="spellEnd"/>
                                                <w:r w:rsidRPr="00D541F7">
                                                  <w:rPr>
                                                    <w:rFonts w:ascii="Verdana" w:eastAsia="Times New Roman" w:hAnsi="Verdana" w:cs="Times New Roman"/>
                                                    <w:color w:val="000000"/>
                                                    <w:sz w:val="17"/>
                                                    <w:szCs w:val="17"/>
                                                    <w:lang w:eastAsia="en-GB"/>
                                                  </w:rPr>
                                                  <w:t xml:space="preserve"> plastic that extends right around the ebony fingerboard at the body end. Pearl position dots of diminishing size are joined at the 12th fret by a pearl inlay that is engraved with the 'Apache' legend.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 xml:space="preserve">The Apache's three-aside headstock, with </w:t>
                                                </w:r>
                                                <w:proofErr w:type="spellStart"/>
                                                <w:r w:rsidRPr="00D541F7">
                                                  <w:rPr>
                                                    <w:rFonts w:ascii="Verdana" w:eastAsia="Times New Roman" w:hAnsi="Verdana" w:cs="Times New Roman"/>
                                                    <w:color w:val="000000"/>
                                                    <w:sz w:val="17"/>
                                                    <w:szCs w:val="17"/>
                                                    <w:lang w:eastAsia="en-GB"/>
                                                  </w:rPr>
                                                  <w:t>it's</w:t>
                                                </w:r>
                                                <w:proofErr w:type="spellEnd"/>
                                                <w:r w:rsidRPr="00D541F7">
                                                  <w:rPr>
                                                    <w:rFonts w:ascii="Verdana" w:eastAsia="Times New Roman" w:hAnsi="Verdana" w:cs="Times New Roman"/>
                                                    <w:color w:val="000000"/>
                                                    <w:sz w:val="17"/>
                                                    <w:szCs w:val="17"/>
                                                    <w:lang w:eastAsia="en-GB"/>
                                                  </w:rPr>
                                                  <w:t xml:space="preserve"> unusual 'scroll' shape, has sufficient back angle to ensure good string contact at the nut without the need for string trees — always a plus point on a guitar that is fitted with a vibrato. The use of a zero fret (as on the original Marvin) relegates the nut to the role of a string spacer.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 xml:space="preserve">A white </w:t>
                                                </w:r>
                                                <w:proofErr w:type="spellStart"/>
                                                <w:r w:rsidRPr="00D541F7">
                                                  <w:rPr>
                                                    <w:rFonts w:ascii="Verdana" w:eastAsia="Times New Roman" w:hAnsi="Verdana" w:cs="Times New Roman"/>
                                                    <w:color w:val="000000"/>
                                                    <w:sz w:val="17"/>
                                                    <w:szCs w:val="17"/>
                                                    <w:lang w:eastAsia="en-GB"/>
                                                  </w:rPr>
                                                  <w:t>pearloid</w:t>
                                                </w:r>
                                                <w:proofErr w:type="spellEnd"/>
                                                <w:r w:rsidRPr="00D541F7">
                                                  <w:rPr>
                                                    <w:rFonts w:ascii="Verdana" w:eastAsia="Times New Roman" w:hAnsi="Verdana" w:cs="Times New Roman"/>
                                                    <w:color w:val="000000"/>
                                                    <w:sz w:val="17"/>
                                                    <w:szCs w:val="17"/>
                                                    <w:lang w:eastAsia="en-GB"/>
                                                  </w:rPr>
                                                  <w:t xml:space="preserve"> plastic plate at the heel conceals the four cross-head screws that secure the neck to the body, and removing it provides access to the truss rod adjustor. Burns' patented bi-directional 'Gear-o </w:t>
                                                </w:r>
                                                <w:proofErr w:type="spellStart"/>
                                                <w:r w:rsidRPr="00D541F7">
                                                  <w:rPr>
                                                    <w:rFonts w:ascii="Verdana" w:eastAsia="Times New Roman" w:hAnsi="Verdana" w:cs="Times New Roman"/>
                                                    <w:color w:val="000000"/>
                                                    <w:sz w:val="17"/>
                                                    <w:szCs w:val="17"/>
                                                    <w:lang w:eastAsia="en-GB"/>
                                                  </w:rPr>
                                                  <w:t>Matik</w:t>
                                                </w:r>
                                                <w:proofErr w:type="spellEnd"/>
                                                <w:r w:rsidRPr="00D541F7">
                                                  <w:rPr>
                                                    <w:rFonts w:ascii="Verdana" w:eastAsia="Times New Roman" w:hAnsi="Verdana" w:cs="Times New Roman"/>
                                                    <w:color w:val="000000"/>
                                                    <w:sz w:val="17"/>
                                                    <w:szCs w:val="17"/>
                                                    <w:lang w:eastAsia="en-GB"/>
                                                  </w:rPr>
                                                  <w:t xml:space="preserve">' truss rod allows the neck to be adjusted with the strings tuned to pitch. Having removed the plastic heel-plate, a special tool (supplied with the guitar) can be used to adjust the geared mechanism — clockwise to correct a hump and anti-clockwise to correct a bow.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 xml:space="preserve">HARDWARE &amp; PARTS </w:t>
                                                </w:r>
                                                <w:r w:rsidRPr="00D541F7">
                                                  <w:rPr>
                                                    <w:rFonts w:ascii="Verdana" w:eastAsia="Times New Roman" w:hAnsi="Verdana" w:cs="Times New Roman"/>
                                                    <w:color w:val="000000"/>
                                                    <w:sz w:val="17"/>
                                                    <w:szCs w:val="17"/>
                                                    <w:lang w:eastAsia="en-GB"/>
                                                  </w:rPr>
                                                  <w:br/>
                                                  <w:t xml:space="preserve">Like the vibrato unit, which we'll come to shortly, this small heel </w:t>
                                                </w:r>
                                                <w:proofErr w:type="gramStart"/>
                                                <w:r w:rsidRPr="00D541F7">
                                                  <w:rPr>
                                                    <w:rFonts w:ascii="Verdana" w:eastAsia="Times New Roman" w:hAnsi="Verdana" w:cs="Times New Roman"/>
                                                    <w:color w:val="000000"/>
                                                    <w:sz w:val="17"/>
                                                    <w:szCs w:val="17"/>
                                                    <w:lang w:eastAsia="en-GB"/>
                                                  </w:rPr>
                                                  <w:t>plate</w:t>
                                                </w:r>
                                                <w:proofErr w:type="gramEnd"/>
                                                <w:r w:rsidRPr="00D541F7">
                                                  <w:rPr>
                                                    <w:rFonts w:ascii="Verdana" w:eastAsia="Times New Roman" w:hAnsi="Verdana" w:cs="Times New Roman"/>
                                                    <w:color w:val="000000"/>
                                                    <w:sz w:val="17"/>
                                                    <w:szCs w:val="17"/>
                                                    <w:lang w:eastAsia="en-GB"/>
                                                  </w:rPr>
                                                  <w:t xml:space="preserve"> is engraved with the Apache logo (which was borrowed, Barry Gibson tells us, from the decoration on a World War II Mustang fighter plane), the signatures of Shadows guitarists Hank Marvin and Bruce Welch and the instrument's serial number.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The review model (serial number 000) is in fact a prototype. Production models will be numbered from 001 up to 500. The '</w:t>
                                                </w:r>
                                                <w:proofErr w:type="spellStart"/>
                                                <w:r w:rsidRPr="00D541F7">
                                                  <w:rPr>
                                                    <w:rFonts w:ascii="Verdana" w:eastAsia="Times New Roman" w:hAnsi="Verdana" w:cs="Times New Roman"/>
                                                    <w:color w:val="000000"/>
                                                    <w:sz w:val="17"/>
                                                    <w:szCs w:val="17"/>
                                                    <w:lang w:eastAsia="en-GB"/>
                                                  </w:rPr>
                                                  <w:t>Rez</w:t>
                                                </w:r>
                                                <w:proofErr w:type="spellEnd"/>
                                                <w:r w:rsidRPr="00D541F7">
                                                  <w:rPr>
                                                    <w:rFonts w:ascii="Verdana" w:eastAsia="Times New Roman" w:hAnsi="Verdana" w:cs="Times New Roman"/>
                                                    <w:color w:val="000000"/>
                                                    <w:sz w:val="17"/>
                                                    <w:szCs w:val="17"/>
                                                    <w:lang w:eastAsia="en-GB"/>
                                                  </w:rPr>
                                                  <w:t xml:space="preserve">-o-Tube' vibrato unit is functionally identical to that fitted to the original Marvin. Underneath the bridge plate, each string is anchored in a separate hollow tube (hence the name), and the design is said to enhance tone and sustain. Vibrato tension adjustments can be made using the two bolts that are located at the end of the plate to tighten or loosen the four springs concealed underneath, while the height and tension of the arm can be set using an Allen key. All hardware is gold-plated, including the protective bars which extend over the vibrato plate.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Designed specifically for the original Marvin, the '</w:t>
                                                </w:r>
                                                <w:proofErr w:type="spellStart"/>
                                                <w:r w:rsidRPr="00D541F7">
                                                  <w:rPr>
                                                    <w:rFonts w:ascii="Verdana" w:eastAsia="Times New Roman" w:hAnsi="Verdana" w:cs="Times New Roman"/>
                                                    <w:color w:val="000000"/>
                                                    <w:sz w:val="17"/>
                                                    <w:szCs w:val="17"/>
                                                    <w:lang w:eastAsia="en-GB"/>
                                                  </w:rPr>
                                                  <w:t>Rez</w:t>
                                                </w:r>
                                                <w:proofErr w:type="spellEnd"/>
                                                <w:r w:rsidRPr="00D541F7">
                                                  <w:rPr>
                                                    <w:rFonts w:ascii="Verdana" w:eastAsia="Times New Roman" w:hAnsi="Verdana" w:cs="Times New Roman"/>
                                                    <w:color w:val="000000"/>
                                                    <w:sz w:val="17"/>
                                                    <w:szCs w:val="17"/>
                                                    <w:lang w:eastAsia="en-GB"/>
                                                  </w:rPr>
                                                  <w:t>-o-</w:t>
                                                </w:r>
                                                <w:proofErr w:type="spellStart"/>
                                                <w:r w:rsidRPr="00D541F7">
                                                  <w:rPr>
                                                    <w:rFonts w:ascii="Verdana" w:eastAsia="Times New Roman" w:hAnsi="Verdana" w:cs="Times New Roman"/>
                                                    <w:color w:val="000000"/>
                                                    <w:sz w:val="17"/>
                                                    <w:szCs w:val="17"/>
                                                    <w:lang w:eastAsia="en-GB"/>
                                                  </w:rPr>
                                                  <w:t>Matik</w:t>
                                                </w:r>
                                                <w:proofErr w:type="spellEnd"/>
                                                <w:r w:rsidRPr="00D541F7">
                                                  <w:rPr>
                                                    <w:rFonts w:ascii="Verdana" w:eastAsia="Times New Roman" w:hAnsi="Verdana" w:cs="Times New Roman"/>
                                                    <w:color w:val="000000"/>
                                                    <w:sz w:val="17"/>
                                                    <w:szCs w:val="17"/>
                                                    <w:lang w:eastAsia="en-GB"/>
                                                  </w:rPr>
                                                  <w:t xml:space="preserve">' pickups were closely based — at Hank's request — on the units that Fender fitted to its Stratocaster model. For this new Apache, Burns has boosted the pickups' output, using a thinner wire for the coils. "We found that this, in combination with the ebony fingerboard, yielded a richer, warmer tone," says Barry Gibson.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 xml:space="preserve">Unlike the </w:t>
                                                </w:r>
                                                <w:proofErr w:type="spellStart"/>
                                                <w:r w:rsidRPr="00D541F7">
                                                  <w:rPr>
                                                    <w:rFonts w:ascii="Verdana" w:eastAsia="Times New Roman" w:hAnsi="Verdana" w:cs="Times New Roman"/>
                                                    <w:color w:val="000000"/>
                                                    <w:sz w:val="17"/>
                                                    <w:szCs w:val="17"/>
                                                    <w:lang w:eastAsia="en-GB"/>
                                                  </w:rPr>
                                                  <w:t>Strat</w:t>
                                                </w:r>
                                                <w:proofErr w:type="spellEnd"/>
                                                <w:r w:rsidRPr="00D541F7">
                                                  <w:rPr>
                                                    <w:rFonts w:ascii="Verdana" w:eastAsia="Times New Roman" w:hAnsi="Verdana" w:cs="Times New Roman"/>
                                                    <w:color w:val="000000"/>
                                                    <w:sz w:val="17"/>
                                                    <w:szCs w:val="17"/>
                                                    <w:lang w:eastAsia="en-GB"/>
                                                  </w:rPr>
                                                  <w:t xml:space="preserve">, all three pickups are set at an angle, sloping down towards the bridge slightly on the treble side. Note that the neck pickup is slightly narrower than the bridge and middle units so that its </w:t>
                                                </w:r>
                                                <w:proofErr w:type="spellStart"/>
                                                <w:r w:rsidRPr="00D541F7">
                                                  <w:rPr>
                                                    <w:rFonts w:ascii="Verdana" w:eastAsia="Times New Roman" w:hAnsi="Verdana" w:cs="Times New Roman"/>
                                                    <w:color w:val="000000"/>
                                                    <w:sz w:val="17"/>
                                                    <w:szCs w:val="17"/>
                                                    <w:lang w:eastAsia="en-GB"/>
                                                  </w:rPr>
                                                  <w:t>polepieces</w:t>
                                                </w:r>
                                                <w:proofErr w:type="spellEnd"/>
                                                <w:r w:rsidRPr="00D541F7">
                                                  <w:rPr>
                                                    <w:rFonts w:ascii="Verdana" w:eastAsia="Times New Roman" w:hAnsi="Verdana" w:cs="Times New Roman"/>
                                                    <w:color w:val="000000"/>
                                                    <w:sz w:val="17"/>
                                                    <w:szCs w:val="17"/>
                                                    <w:lang w:eastAsia="en-GB"/>
                                                  </w:rPr>
                                                  <w:t xml:space="preserve"> </w:t>
                                                </w:r>
                                                <w:r w:rsidRPr="00D541F7">
                                                  <w:rPr>
                                                    <w:rFonts w:ascii="Verdana" w:eastAsia="Times New Roman" w:hAnsi="Verdana" w:cs="Times New Roman"/>
                                                    <w:color w:val="000000"/>
                                                    <w:sz w:val="17"/>
                                                    <w:szCs w:val="17"/>
                                                    <w:lang w:eastAsia="en-GB"/>
                                                  </w:rPr>
                                                  <w:lastRenderedPageBreak/>
                                                  <w:t xml:space="preserve">align correctly with the strings — neat!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 xml:space="preserve">The electronics comprise a master volume control and two tone controls. The bridge-pickup tone control, positioned closest to the jack socket, doubles as a push-pull switch that adds the neck pickup to </w:t>
                                                </w:r>
                                                <w:proofErr w:type="gramStart"/>
                                                <w:r w:rsidRPr="00D541F7">
                                                  <w:rPr>
                                                    <w:rFonts w:ascii="Verdana" w:eastAsia="Times New Roman" w:hAnsi="Verdana" w:cs="Times New Roman"/>
                                                    <w:color w:val="000000"/>
                                                    <w:sz w:val="17"/>
                                                    <w:szCs w:val="17"/>
                                                    <w:lang w:eastAsia="en-GB"/>
                                                  </w:rPr>
                                                  <w:t>the whatever</w:t>
                                                </w:r>
                                                <w:proofErr w:type="gramEnd"/>
                                                <w:r w:rsidRPr="00D541F7">
                                                  <w:rPr>
                                                    <w:rFonts w:ascii="Verdana" w:eastAsia="Times New Roman" w:hAnsi="Verdana" w:cs="Times New Roman"/>
                                                    <w:color w:val="000000"/>
                                                    <w:sz w:val="17"/>
                                                    <w:szCs w:val="17"/>
                                                    <w:lang w:eastAsia="en-GB"/>
                                                  </w:rPr>
                                                  <w:t xml:space="preserve"> combination is determined by the five-way blade switch.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 xml:space="preserve">Though the review guitar (being a pre-production prototype) sports a set of </w:t>
                                                </w:r>
                                                <w:proofErr w:type="spellStart"/>
                                                <w:r w:rsidRPr="00D541F7">
                                                  <w:rPr>
                                                    <w:rFonts w:ascii="Verdana" w:eastAsia="Times New Roman" w:hAnsi="Verdana" w:cs="Times New Roman"/>
                                                    <w:color w:val="000000"/>
                                                    <w:sz w:val="17"/>
                                                    <w:szCs w:val="17"/>
                                                    <w:lang w:eastAsia="en-GB"/>
                                                  </w:rPr>
                                                  <w:t>Sperzel</w:t>
                                                </w:r>
                                                <w:proofErr w:type="spellEnd"/>
                                                <w:r w:rsidRPr="00D541F7">
                                                  <w:rPr>
                                                    <w:rFonts w:ascii="Verdana" w:eastAsia="Times New Roman" w:hAnsi="Verdana" w:cs="Times New Roman"/>
                                                    <w:color w:val="000000"/>
                                                    <w:sz w:val="17"/>
                                                    <w:szCs w:val="17"/>
                                                    <w:lang w:eastAsia="en-GB"/>
                                                  </w:rPr>
                                                  <w:t xml:space="preserve"> tuners, the production model will be fitted with gold-plated Burns-branded locking </w:t>
                                                </w:r>
                                                <w:proofErr w:type="spellStart"/>
                                                <w:r w:rsidRPr="00D541F7">
                                                  <w:rPr>
                                                    <w:rFonts w:ascii="Verdana" w:eastAsia="Times New Roman" w:hAnsi="Verdana" w:cs="Times New Roman"/>
                                                    <w:color w:val="000000"/>
                                                    <w:sz w:val="17"/>
                                                    <w:szCs w:val="17"/>
                                                    <w:lang w:eastAsia="en-GB"/>
                                                  </w:rPr>
                                                  <w:t>machineheads</w:t>
                                                </w:r>
                                                <w:proofErr w:type="spellEnd"/>
                                                <w:r w:rsidRPr="00D541F7">
                                                  <w:rPr>
                                                    <w:rFonts w:ascii="Verdana" w:eastAsia="Times New Roman" w:hAnsi="Verdana" w:cs="Times New Roman"/>
                                                    <w:color w:val="000000"/>
                                                    <w:sz w:val="17"/>
                                                    <w:szCs w:val="17"/>
                                                    <w:lang w:eastAsia="en-GB"/>
                                                  </w:rPr>
                                                  <w:t xml:space="preserve"> of a similar design. SOUNDS Unplugged, this Apache produces a rich, lively tone with plenty of sustain, while the combination of the zero fret, compound fingerboard radius and excellent setup provides a very enjoyable playing experience.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 xml:space="preserve">Plugged in to an amp, the five-way switch yields the usual </w:t>
                                                </w:r>
                                                <w:proofErr w:type="spellStart"/>
                                                <w:r w:rsidRPr="00D541F7">
                                                  <w:rPr>
                                                    <w:rFonts w:ascii="Verdana" w:eastAsia="Times New Roman" w:hAnsi="Verdana" w:cs="Times New Roman"/>
                                                    <w:color w:val="000000"/>
                                                    <w:sz w:val="17"/>
                                                    <w:szCs w:val="17"/>
                                                    <w:lang w:eastAsia="en-GB"/>
                                                  </w:rPr>
                                                  <w:t>Strat</w:t>
                                                </w:r>
                                                <w:proofErr w:type="spellEnd"/>
                                                <w:r w:rsidRPr="00D541F7">
                                                  <w:rPr>
                                                    <w:rFonts w:ascii="Verdana" w:eastAsia="Times New Roman" w:hAnsi="Verdana" w:cs="Times New Roman"/>
                                                    <w:color w:val="000000"/>
                                                    <w:sz w:val="17"/>
                                                    <w:szCs w:val="17"/>
                                                    <w:lang w:eastAsia="en-GB"/>
                                                  </w:rPr>
                                                  <w:t xml:space="preserve">-type settings — the three pickups individually plus bridge/middle and middle/neck pickup combinations. Using the push-pull tone control to add the neck pickup yields two additional permutations — the neck and bridge pickups together and all three pickups at once. As a result of the middle </w:t>
                                                </w:r>
                                                <w:proofErr w:type="gramStart"/>
                                                <w:r w:rsidRPr="00D541F7">
                                                  <w:rPr>
                                                    <w:rFonts w:ascii="Verdana" w:eastAsia="Times New Roman" w:hAnsi="Verdana" w:cs="Times New Roman"/>
                                                    <w:color w:val="000000"/>
                                                    <w:sz w:val="17"/>
                                                    <w:szCs w:val="17"/>
                                                    <w:lang w:eastAsia="en-GB"/>
                                                  </w:rPr>
                                                  <w:t>pickup's</w:t>
                                                </w:r>
                                                <w:proofErr w:type="gramEnd"/>
                                                <w:r w:rsidRPr="00D541F7">
                                                  <w:rPr>
                                                    <w:rFonts w:ascii="Verdana" w:eastAsia="Times New Roman" w:hAnsi="Verdana" w:cs="Times New Roman"/>
                                                    <w:color w:val="000000"/>
                                                    <w:sz w:val="17"/>
                                                    <w:szCs w:val="17"/>
                                                    <w:lang w:eastAsia="en-GB"/>
                                                  </w:rPr>
                                                  <w:t xml:space="preserve"> reverse polarity, combining it with the neck or bridge pickup cancels hum (this obviously doesn't apply to the neck/bridge pickup combination).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 xml:space="preserve">It should come as no surprise that, plugged in, the Apache sounds similar to a Stratocaster. However, the </w:t>
                                                </w:r>
                                                <w:proofErr w:type="spellStart"/>
                                                <w:r w:rsidRPr="00D541F7">
                                                  <w:rPr>
                                                    <w:rFonts w:ascii="Verdana" w:eastAsia="Times New Roman" w:hAnsi="Verdana" w:cs="Times New Roman"/>
                                                    <w:color w:val="000000"/>
                                                    <w:sz w:val="17"/>
                                                    <w:szCs w:val="17"/>
                                                    <w:lang w:eastAsia="en-GB"/>
                                                  </w:rPr>
                                                  <w:t>Rez</w:t>
                                                </w:r>
                                                <w:proofErr w:type="spellEnd"/>
                                                <w:r w:rsidRPr="00D541F7">
                                                  <w:rPr>
                                                    <w:rFonts w:ascii="Verdana" w:eastAsia="Times New Roman" w:hAnsi="Verdana" w:cs="Times New Roman"/>
                                                    <w:color w:val="000000"/>
                                                    <w:sz w:val="17"/>
                                                    <w:szCs w:val="17"/>
                                                    <w:lang w:eastAsia="en-GB"/>
                                                  </w:rPr>
                                                  <w:t xml:space="preserve">-o-Tube vibrato adds a warmth and richness to the overall tone (particularly apparent when using the bridge pickup) that lends the Apache a distinctive sound all of its own. </w:t>
                                                </w:r>
                                              </w:p>
                                              <w:p w:rsidR="00D541F7" w:rsidRPr="00D541F7" w:rsidRDefault="00D541F7" w:rsidP="00D541F7">
                                                <w:pPr>
                                                  <w:spacing w:before="100" w:beforeAutospacing="1" w:after="100" w:afterAutospacing="1"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There's a snap and twang to the tone, but also a rich mid-range that serves both Shadows-</w:t>
                                                </w:r>
                                                <w:proofErr w:type="spellStart"/>
                                                <w:r w:rsidRPr="00D541F7">
                                                  <w:rPr>
                                                    <w:rFonts w:ascii="Verdana" w:eastAsia="Times New Roman" w:hAnsi="Verdana" w:cs="Times New Roman"/>
                                                    <w:color w:val="000000"/>
                                                    <w:sz w:val="17"/>
                                                    <w:szCs w:val="17"/>
                                                    <w:lang w:eastAsia="en-GB"/>
                                                  </w:rPr>
                                                  <w:t>esque</w:t>
                                                </w:r>
                                                <w:proofErr w:type="spellEnd"/>
                                                <w:r w:rsidRPr="00D541F7">
                                                  <w:rPr>
                                                    <w:rFonts w:ascii="Verdana" w:eastAsia="Times New Roman" w:hAnsi="Verdana" w:cs="Times New Roman"/>
                                                    <w:color w:val="000000"/>
                                                    <w:sz w:val="17"/>
                                                    <w:szCs w:val="17"/>
                                                    <w:lang w:eastAsia="en-GB"/>
                                                  </w:rPr>
                                                  <w:t xml:space="preserve"> clean sounds and more raucous rock and blues playing equally well. All told, this is a great guitar that offers a broad palette of tonal shadings and is capable of much more than the basic Shadows repertoire. It's difficult to fault in any department — looks, tone, build or setup — and feels every inch an up-market instrument. </w:t>
                                                </w:r>
                                              </w:p>
                                              <w:p w:rsidR="00D541F7" w:rsidRPr="00D541F7" w:rsidRDefault="00D541F7" w:rsidP="00D541F7">
                                                <w:pPr>
                                                  <w:spacing w:before="100" w:beforeAutospacing="1" w:after="240" w:line="240" w:lineRule="auto"/>
                                                  <w:rPr>
                                                    <w:rFonts w:ascii="Verdana" w:eastAsia="Times New Roman" w:hAnsi="Verdana" w:cs="Times New Roman"/>
                                                    <w:color w:val="000000"/>
                                                    <w:sz w:val="17"/>
                                                    <w:szCs w:val="17"/>
                                                    <w:lang w:eastAsia="en-GB"/>
                                                  </w:rPr>
                                                </w:pPr>
                                                <w:hyperlink r:id="rId6" w:history="1">
                                                  <w:r w:rsidRPr="00D541F7">
                                                    <w:rPr>
                                                      <w:rFonts w:ascii="Verdana" w:eastAsia="Times New Roman" w:hAnsi="Verdana" w:cs="Times New Roman"/>
                                                      <w:color w:val="4999CC"/>
                                                      <w:sz w:val="17"/>
                                                      <w:u w:val="single"/>
                                                      <w:lang w:eastAsia="en-GB"/>
                                                    </w:rPr>
                                                    <w:t>Back to Articles &amp; Reviews</w:t>
                                                  </w:r>
                                                </w:hyperlink>
                                              </w:p>
                                            </w:tc>
                                            <w:tc>
                                              <w:tcPr>
                                                <w:tcW w:w="600" w:type="dxa"/>
                                                <w:vAlign w:val="center"/>
                                                <w:hideMark/>
                                              </w:tcPr>
                                              <w:p w:rsidR="00D541F7" w:rsidRPr="00D541F7" w:rsidRDefault="00D541F7" w:rsidP="00D541F7">
                                                <w:pPr>
                                                  <w:spacing w:after="0" w:line="240" w:lineRule="auto"/>
                                                  <w:rPr>
                                                    <w:rFonts w:ascii="Verdana" w:eastAsia="Times New Roman" w:hAnsi="Verdana" w:cs="Times New Roman"/>
                                                    <w:color w:val="000000"/>
                                                    <w:sz w:val="17"/>
                                                    <w:szCs w:val="17"/>
                                                    <w:lang w:eastAsia="en-GB"/>
                                                  </w:rPr>
                                                </w:pPr>
                                              </w:p>
                                            </w:tc>
                                            <w:tc>
                                              <w:tcPr>
                                                <w:tcW w:w="1890" w:type="dxa"/>
                                                <w:hideMark/>
                                              </w:tcPr>
                                              <w:p w:rsidR="00D541F7" w:rsidRPr="00D541F7" w:rsidRDefault="00D541F7" w:rsidP="00D541F7">
                                                <w:pPr>
                                                  <w:spacing w:after="0" w:line="240" w:lineRule="auto"/>
                                                  <w:rPr>
                                                    <w:rFonts w:ascii="Verdana" w:eastAsia="Times New Roman" w:hAnsi="Verdana" w:cs="Times New Roman"/>
                                                    <w:color w:val="000000"/>
                                                    <w:sz w:val="17"/>
                                                    <w:szCs w:val="17"/>
                                                    <w:lang w:eastAsia="en-GB"/>
                                                  </w:rPr>
                                                </w:pPr>
                                                <w:r>
                                                  <w:rPr>
                                                    <w:rFonts w:ascii="Verdana" w:eastAsia="Times New Roman" w:hAnsi="Verdana" w:cs="Times New Roman"/>
                                                    <w:noProof/>
                                                    <w:color w:val="4999CC"/>
                                                    <w:sz w:val="17"/>
                                                    <w:szCs w:val="17"/>
                                                    <w:lang w:eastAsia="en-GB"/>
                                                  </w:rPr>
                                                  <w:drawing>
                                                    <wp:inline distT="0" distB="0" distL="0" distR="0">
                                                      <wp:extent cx="1200150" cy="1581150"/>
                                                      <wp:effectExtent l="19050" t="0" r="0" b="0"/>
                                                      <wp:docPr id="3" name="Picture 3" descr="http://www.burnsguitars.com/articles/burnsgol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urnsguitars.com/articles/burnsgold.jpg">
                                                                <a:hlinkClick r:id="rId7"/>
                                                              </pic:cNvPr>
                                                              <pic:cNvPicPr>
                                                                <a:picLocks noChangeAspect="1" noChangeArrowheads="1"/>
                                                              </pic:cNvPicPr>
                                                            </pic:nvPicPr>
                                                            <pic:blipFill>
                                                              <a:blip r:embed="rId8" cstate="print"/>
                                                              <a:srcRect/>
                                                              <a:stretch>
                                                                <a:fillRect/>
                                                              </a:stretch>
                                                            </pic:blipFill>
                                                            <pic:spPr bwMode="auto">
                                                              <a:xfrm>
                                                                <a:off x="0" y="0"/>
                                                                <a:ext cx="1200150" cy="1581150"/>
                                                              </a:xfrm>
                                                              <a:prstGeom prst="rect">
                                                                <a:avLst/>
                                                              </a:prstGeom>
                                                              <a:noFill/>
                                                              <a:ln w="9525">
                                                                <a:noFill/>
                                                                <a:miter lim="800000"/>
                                                                <a:headEnd/>
                                                                <a:tailEnd/>
                                                              </a:ln>
                                                            </pic:spPr>
                                                          </pic:pic>
                                                        </a:graphicData>
                                                      </a:graphic>
                                                    </wp:inline>
                                                  </w:drawing>
                                                </w:r>
                                              </w:p>
                                            </w:tc>
                                            <w:tc>
                                              <w:tcPr>
                                                <w:tcW w:w="525" w:type="dxa"/>
                                                <w:vAlign w:val="center"/>
                                                <w:hideMark/>
                                              </w:tcPr>
                                              <w:p w:rsidR="00D541F7" w:rsidRPr="00D541F7" w:rsidRDefault="00D541F7" w:rsidP="00D541F7">
                                                <w:pPr>
                                                  <w:spacing w:after="0" w:line="240" w:lineRule="auto"/>
                                                  <w:rPr>
                                                    <w:rFonts w:ascii="Verdana" w:eastAsia="Times New Roman" w:hAnsi="Verdana" w:cs="Times New Roman"/>
                                                    <w:color w:val="000000"/>
                                                    <w:sz w:val="17"/>
                                                    <w:szCs w:val="17"/>
                                                    <w:lang w:eastAsia="en-GB"/>
                                                  </w:rPr>
                                                </w:pPr>
                                              </w:p>
                                            </w:tc>
                                          </w:tr>
                                        </w:tbl>
                                        <w:p w:rsidR="00D541F7" w:rsidRPr="00D541F7" w:rsidRDefault="00D541F7" w:rsidP="00D541F7">
                                          <w:pPr>
                                            <w:spacing w:after="0" w:line="240" w:lineRule="auto"/>
                                            <w:rPr>
                                              <w:rFonts w:ascii="Verdana" w:eastAsia="Times New Roman" w:hAnsi="Verdana" w:cs="Times New Roman"/>
                                              <w:color w:val="000000"/>
                                              <w:sz w:val="17"/>
                                              <w:szCs w:val="17"/>
                                              <w:lang w:eastAsia="en-GB"/>
                                            </w:rPr>
                                          </w:pPr>
                                        </w:p>
                                      </w:tc>
                                    </w:tr>
                                  </w:tbl>
                                  <w:p w:rsidR="00D541F7" w:rsidRPr="00D541F7" w:rsidRDefault="00D541F7" w:rsidP="00D541F7">
                                    <w:pPr>
                                      <w:spacing w:after="0" w:line="240" w:lineRule="auto"/>
                                      <w:rPr>
                                        <w:rFonts w:ascii="Verdana" w:eastAsia="Times New Roman" w:hAnsi="Verdana" w:cs="Times New Roman"/>
                                        <w:color w:val="000000"/>
                                        <w:sz w:val="17"/>
                                        <w:szCs w:val="17"/>
                                        <w:lang w:eastAsia="en-GB"/>
                                      </w:rPr>
                                    </w:pPr>
                                  </w:p>
                                </w:tc>
                              </w:tr>
                            </w:tbl>
                            <w:p w:rsidR="00D541F7" w:rsidRPr="00D541F7" w:rsidRDefault="00D541F7" w:rsidP="00D541F7">
                              <w:pPr>
                                <w:spacing w:after="0" w:line="240" w:lineRule="auto"/>
                                <w:rPr>
                                  <w:rFonts w:ascii="Verdana" w:eastAsia="Times New Roman" w:hAnsi="Verdana" w:cs="Times New Roman"/>
                                  <w:color w:val="000000"/>
                                  <w:sz w:val="17"/>
                                  <w:szCs w:val="17"/>
                                  <w:lang w:eastAsia="en-GB"/>
                                </w:rPr>
                              </w:pPr>
                            </w:p>
                          </w:tc>
                        </w:tr>
                      </w:tbl>
                      <w:p w:rsidR="00D541F7" w:rsidRPr="00D541F7" w:rsidRDefault="00D541F7" w:rsidP="00D541F7">
                        <w:pPr>
                          <w:spacing w:after="0" w:line="240" w:lineRule="auto"/>
                          <w:rPr>
                            <w:rFonts w:ascii="Verdana" w:eastAsia="Times New Roman" w:hAnsi="Verdana" w:cs="Times New Roman"/>
                            <w:color w:val="000000"/>
                            <w:sz w:val="17"/>
                            <w:szCs w:val="17"/>
                            <w:lang w:eastAsia="en-GB"/>
                          </w:rPr>
                        </w:pPr>
                      </w:p>
                    </w:tc>
                  </w:tr>
                </w:tbl>
                <w:p w:rsidR="00D541F7" w:rsidRPr="00D541F7" w:rsidRDefault="00D541F7" w:rsidP="00D541F7">
                  <w:pPr>
                    <w:spacing w:after="0" w:line="240" w:lineRule="auto"/>
                    <w:rPr>
                      <w:rFonts w:ascii="Verdana" w:eastAsia="Times New Roman" w:hAnsi="Verdana" w:cs="Times New Roman"/>
                      <w:color w:val="000000"/>
                      <w:sz w:val="17"/>
                      <w:szCs w:val="17"/>
                      <w:lang w:eastAsia="en-GB"/>
                    </w:rPr>
                  </w:pPr>
                </w:p>
              </w:tc>
            </w:tr>
            <w:tr w:rsidR="00D541F7" w:rsidRPr="00D541F7">
              <w:trPr>
                <w:trHeight w:val="360"/>
                <w:tblCellSpacing w:w="0" w:type="dxa"/>
                <w:jc w:val="center"/>
              </w:trPr>
              <w:tc>
                <w:tcPr>
                  <w:tcW w:w="0" w:type="auto"/>
                  <w:shd w:val="clear" w:color="auto" w:fill="FFFFFF"/>
                  <w:vAlign w:val="center"/>
                  <w:hideMark/>
                </w:tcPr>
                <w:tbl>
                  <w:tblPr>
                    <w:tblpPr w:leftFromText="45" w:rightFromText="45" w:vertAnchor="text"/>
                    <w:tblW w:w="0" w:type="auto"/>
                    <w:tblCellSpacing w:w="0" w:type="dxa"/>
                    <w:tblCellMar>
                      <w:top w:w="60" w:type="dxa"/>
                      <w:left w:w="60" w:type="dxa"/>
                      <w:bottom w:w="60" w:type="dxa"/>
                      <w:right w:w="60" w:type="dxa"/>
                    </w:tblCellMar>
                    <w:tblLook w:val="04A0"/>
                  </w:tblPr>
                  <w:tblGrid>
                    <w:gridCol w:w="126"/>
                  </w:tblGrid>
                  <w:tr w:rsidR="00D541F7" w:rsidRPr="00D541F7">
                    <w:trPr>
                      <w:tblCellSpacing w:w="0" w:type="dxa"/>
                    </w:trPr>
                    <w:tc>
                      <w:tcPr>
                        <w:tcW w:w="0" w:type="auto"/>
                        <w:hideMark/>
                      </w:tcPr>
                      <w:p w:rsidR="00D541F7" w:rsidRPr="00D541F7" w:rsidRDefault="00D541F7" w:rsidP="00D541F7">
                        <w:pPr>
                          <w:spacing w:after="0" w:line="240" w:lineRule="auto"/>
                          <w:rPr>
                            <w:rFonts w:ascii="Verdana" w:eastAsia="Times New Roman" w:hAnsi="Verdana" w:cs="Times New Roman"/>
                            <w:color w:val="000000"/>
                            <w:sz w:val="17"/>
                            <w:szCs w:val="17"/>
                            <w:lang w:eastAsia="en-GB"/>
                          </w:rPr>
                        </w:pPr>
                      </w:p>
                    </w:tc>
                  </w:tr>
                </w:tbl>
                <w:p w:rsidR="00D541F7" w:rsidRPr="00D541F7" w:rsidRDefault="00D541F7" w:rsidP="00D541F7">
                  <w:pPr>
                    <w:spacing w:after="0" w:line="240" w:lineRule="auto"/>
                    <w:rPr>
                      <w:rFonts w:ascii="Verdana" w:eastAsia="Times New Roman" w:hAnsi="Verdana" w:cs="Times New Roman"/>
                      <w:color w:val="000000"/>
                      <w:sz w:val="17"/>
                      <w:szCs w:val="17"/>
                      <w:lang w:eastAsia="en-GB"/>
                    </w:rPr>
                  </w:pPr>
                </w:p>
              </w:tc>
            </w:tr>
          </w:tbl>
          <w:p w:rsidR="00D541F7" w:rsidRPr="00D541F7" w:rsidRDefault="00D541F7" w:rsidP="00D541F7">
            <w:pPr>
              <w:spacing w:after="0" w:line="240" w:lineRule="auto"/>
              <w:rPr>
                <w:rFonts w:ascii="Verdana" w:eastAsia="Times New Roman" w:hAnsi="Verdana" w:cs="Times New Roman"/>
                <w:color w:val="000000"/>
                <w:sz w:val="17"/>
                <w:szCs w:val="17"/>
                <w:lang w:eastAsia="en-GB"/>
              </w:rPr>
            </w:pPr>
          </w:p>
        </w:tc>
      </w:tr>
    </w:tbl>
    <w:p w:rsidR="00D541F7" w:rsidRPr="00D541F7" w:rsidRDefault="00D541F7" w:rsidP="00D541F7">
      <w:pPr>
        <w:spacing w:after="0" w:line="240" w:lineRule="auto"/>
        <w:rPr>
          <w:rFonts w:ascii="Times New Roman" w:eastAsia="Times New Roman" w:hAnsi="Times New Roman" w:cs="Times New Roman"/>
          <w:vanish/>
          <w:sz w:val="24"/>
          <w:szCs w:val="24"/>
          <w:lang w:eastAsia="en-GB"/>
        </w:rPr>
      </w:pPr>
    </w:p>
    <w:tbl>
      <w:tblPr>
        <w:tblW w:w="11820" w:type="dxa"/>
        <w:jc w:val="center"/>
        <w:tblCellSpacing w:w="0" w:type="dxa"/>
        <w:shd w:val="clear" w:color="auto" w:fill="000000"/>
        <w:tblCellMar>
          <w:left w:w="0" w:type="dxa"/>
          <w:right w:w="0" w:type="dxa"/>
        </w:tblCellMar>
        <w:tblLook w:val="04A0"/>
      </w:tblPr>
      <w:tblGrid>
        <w:gridCol w:w="11820"/>
      </w:tblGrid>
      <w:tr w:rsidR="00D541F7" w:rsidRPr="00D541F7" w:rsidTr="00D541F7">
        <w:trPr>
          <w:tblCellSpacing w:w="0" w:type="dxa"/>
          <w:jc w:val="center"/>
        </w:trPr>
        <w:tc>
          <w:tcPr>
            <w:tcW w:w="0" w:type="auto"/>
            <w:shd w:val="clear" w:color="auto" w:fill="000000"/>
            <w:vAlign w:val="center"/>
            <w:hideMark/>
          </w:tcPr>
          <w:p w:rsidR="00D541F7" w:rsidRPr="00D541F7" w:rsidRDefault="00D541F7" w:rsidP="00D541F7">
            <w:pPr>
              <w:spacing w:after="0" w:line="240" w:lineRule="auto"/>
              <w:rPr>
                <w:rFonts w:ascii="Verdana" w:eastAsia="Times New Roman" w:hAnsi="Verdana" w:cs="Times New Roman"/>
                <w:color w:val="000000"/>
                <w:sz w:val="17"/>
                <w:szCs w:val="17"/>
                <w:lang w:eastAsia="en-GB"/>
              </w:rPr>
            </w:pPr>
            <w:r>
              <w:rPr>
                <w:rFonts w:ascii="Verdana" w:eastAsia="Times New Roman" w:hAnsi="Verdana" w:cs="Times New Roman"/>
                <w:noProof/>
                <w:color w:val="000000"/>
                <w:sz w:val="17"/>
                <w:szCs w:val="17"/>
                <w:lang w:eastAsia="en-GB"/>
              </w:rPr>
              <w:drawing>
                <wp:inline distT="0" distB="0" distL="0" distR="0">
                  <wp:extent cx="9525" cy="133350"/>
                  <wp:effectExtent l="19050" t="0" r="9525" b="0"/>
                  <wp:docPr id="4" name="Picture 4" descr="http://www.burnsguitars.com/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urnsguitars.com/images/black.gif"/>
                          <pic:cNvPicPr>
                            <a:picLocks noChangeAspect="1" noChangeArrowheads="1"/>
                          </pic:cNvPicPr>
                        </pic:nvPicPr>
                        <pic:blipFill>
                          <a:blip r:embed="rId9"/>
                          <a:srcRect/>
                          <a:stretch>
                            <a:fillRect/>
                          </a:stretch>
                        </pic:blipFill>
                        <pic:spPr bwMode="auto">
                          <a:xfrm>
                            <a:off x="0" y="0"/>
                            <a:ext cx="9525" cy="133350"/>
                          </a:xfrm>
                          <a:prstGeom prst="rect">
                            <a:avLst/>
                          </a:prstGeom>
                          <a:noFill/>
                          <a:ln w="9525">
                            <a:noFill/>
                            <a:miter lim="800000"/>
                            <a:headEnd/>
                            <a:tailEnd/>
                          </a:ln>
                        </pic:spPr>
                      </pic:pic>
                    </a:graphicData>
                  </a:graphic>
                </wp:inline>
              </w:drawing>
            </w:r>
          </w:p>
        </w:tc>
      </w:tr>
      <w:tr w:rsidR="00D541F7" w:rsidRPr="00D541F7" w:rsidTr="00D541F7">
        <w:trPr>
          <w:tblCellSpacing w:w="0" w:type="dxa"/>
          <w:jc w:val="center"/>
        </w:trPr>
        <w:tc>
          <w:tcPr>
            <w:tcW w:w="0" w:type="auto"/>
            <w:shd w:val="clear" w:color="auto" w:fill="000000"/>
            <w:vAlign w:val="center"/>
            <w:hideMark/>
          </w:tcPr>
          <w:p w:rsidR="00D541F7" w:rsidRPr="00D541F7" w:rsidRDefault="00D541F7" w:rsidP="00D541F7">
            <w:pPr>
              <w:spacing w:before="100" w:beforeAutospacing="1" w:after="100" w:afterAutospacing="1" w:line="240" w:lineRule="auto"/>
              <w:rPr>
                <w:rFonts w:ascii="Verdana" w:eastAsia="Times New Roman" w:hAnsi="Verdana" w:cs="Times New Roman"/>
                <w:color w:val="999999"/>
                <w:sz w:val="14"/>
                <w:szCs w:val="14"/>
                <w:lang w:eastAsia="en-GB"/>
              </w:rPr>
            </w:pPr>
            <w:hyperlink r:id="rId10" w:history="1">
              <w:r w:rsidRPr="00D541F7">
                <w:rPr>
                  <w:rFonts w:ascii="Verdana" w:eastAsia="Times New Roman" w:hAnsi="Verdana" w:cs="Times New Roman"/>
                  <w:color w:val="4999CC"/>
                  <w:sz w:val="14"/>
                  <w:szCs w:val="14"/>
                  <w:u w:val="single"/>
                  <w:lang w:eastAsia="en-GB"/>
                </w:rPr>
                <w:t>Dealer enquiries are welcome</w:t>
              </w:r>
            </w:hyperlink>
            <w:r w:rsidRPr="00D541F7">
              <w:rPr>
                <w:rFonts w:ascii="Verdana" w:eastAsia="Times New Roman" w:hAnsi="Verdana" w:cs="Times New Roman"/>
                <w:color w:val="999999"/>
                <w:sz w:val="14"/>
                <w:szCs w:val="14"/>
                <w:lang w:eastAsia="en-GB"/>
              </w:rPr>
              <w:t xml:space="preserve"> </w:t>
            </w:r>
            <w:r w:rsidRPr="00D541F7">
              <w:rPr>
                <w:rFonts w:ascii="Verdana" w:eastAsia="Times New Roman" w:hAnsi="Verdana" w:cs="Times New Roman"/>
                <w:color w:val="999999"/>
                <w:sz w:val="14"/>
                <w:szCs w:val="14"/>
                <w:lang w:eastAsia="en-GB"/>
              </w:rPr>
              <w:br/>
              <w:t>For all enquiries/sales &amp; availability; please contact:</w:t>
            </w:r>
            <w:r w:rsidRPr="00D541F7">
              <w:rPr>
                <w:rFonts w:ascii="Verdana" w:eastAsia="Times New Roman" w:hAnsi="Verdana" w:cs="Times New Roman"/>
                <w:color w:val="999999"/>
                <w:sz w:val="14"/>
                <w:szCs w:val="14"/>
                <w:lang w:eastAsia="en-GB"/>
              </w:rPr>
              <w:br/>
              <w:t xml:space="preserve">Email: </w:t>
            </w:r>
            <w:hyperlink r:id="rId11" w:history="1">
              <w:r w:rsidRPr="00D541F7">
                <w:rPr>
                  <w:rFonts w:ascii="Verdana" w:eastAsia="Times New Roman" w:hAnsi="Verdana" w:cs="Times New Roman"/>
                  <w:color w:val="4999CC"/>
                  <w:sz w:val="14"/>
                  <w:szCs w:val="14"/>
                  <w:u w:val="single"/>
                  <w:lang w:eastAsia="en-GB"/>
                </w:rPr>
                <w:t>info@burnsguitars.com</w:t>
              </w:r>
            </w:hyperlink>
            <w:r w:rsidRPr="00D541F7">
              <w:rPr>
                <w:rFonts w:ascii="Verdana" w:eastAsia="Times New Roman" w:hAnsi="Verdana" w:cs="Times New Roman"/>
                <w:color w:val="999999"/>
                <w:sz w:val="14"/>
                <w:szCs w:val="14"/>
                <w:lang w:eastAsia="en-GB"/>
              </w:rPr>
              <w:t xml:space="preserve">  Telephone + 44 ( 0 ) 208 7833 638 </w:t>
            </w:r>
            <w:r w:rsidRPr="00D541F7">
              <w:rPr>
                <w:rFonts w:ascii="Verdana" w:eastAsia="Times New Roman" w:hAnsi="Verdana" w:cs="Times New Roman"/>
                <w:color w:val="999999"/>
                <w:sz w:val="14"/>
                <w:szCs w:val="14"/>
                <w:lang w:eastAsia="en-GB"/>
              </w:rPr>
              <w:br/>
            </w:r>
            <w:proofErr w:type="spellStart"/>
            <w:r w:rsidRPr="00D541F7">
              <w:rPr>
                <w:rFonts w:ascii="Verdana" w:eastAsia="Times New Roman" w:hAnsi="Verdana" w:cs="Times New Roman"/>
                <w:color w:val="999999"/>
                <w:sz w:val="14"/>
                <w:szCs w:val="14"/>
                <w:lang w:eastAsia="en-GB"/>
              </w:rPr>
              <w:t>Facebook</w:t>
            </w:r>
            <w:proofErr w:type="spellEnd"/>
            <w:r w:rsidRPr="00D541F7">
              <w:rPr>
                <w:rFonts w:ascii="Verdana" w:eastAsia="Times New Roman" w:hAnsi="Verdana" w:cs="Times New Roman"/>
                <w:color w:val="999999"/>
                <w:sz w:val="14"/>
                <w:szCs w:val="14"/>
                <w:lang w:eastAsia="en-GB"/>
              </w:rPr>
              <w:t xml:space="preserve">: </w:t>
            </w:r>
            <w:hyperlink r:id="rId12" w:tgtFrame="_blank" w:history="1">
              <w:r w:rsidRPr="00D541F7">
                <w:rPr>
                  <w:rFonts w:ascii="Verdana" w:eastAsia="Times New Roman" w:hAnsi="Verdana" w:cs="Times New Roman"/>
                  <w:color w:val="4999CC"/>
                  <w:sz w:val="14"/>
                  <w:szCs w:val="14"/>
                  <w:u w:val="single"/>
                  <w:lang w:eastAsia="en-GB"/>
                </w:rPr>
                <w:t xml:space="preserve">Burns </w:t>
              </w:r>
              <w:proofErr w:type="spellStart"/>
              <w:r w:rsidRPr="00D541F7">
                <w:rPr>
                  <w:rFonts w:ascii="Verdana" w:eastAsia="Times New Roman" w:hAnsi="Verdana" w:cs="Times New Roman"/>
                  <w:color w:val="4999CC"/>
                  <w:sz w:val="14"/>
                  <w:szCs w:val="14"/>
                  <w:u w:val="single"/>
                  <w:lang w:eastAsia="en-GB"/>
                </w:rPr>
                <w:t>Facebook</w:t>
              </w:r>
              <w:proofErr w:type="spellEnd"/>
              <w:r w:rsidRPr="00D541F7">
                <w:rPr>
                  <w:rFonts w:ascii="Verdana" w:eastAsia="Times New Roman" w:hAnsi="Verdana" w:cs="Times New Roman"/>
                  <w:color w:val="4999CC"/>
                  <w:sz w:val="14"/>
                  <w:szCs w:val="14"/>
                  <w:u w:val="single"/>
                  <w:lang w:eastAsia="en-GB"/>
                </w:rPr>
                <w:t xml:space="preserve"> page</w:t>
              </w:r>
            </w:hyperlink>
            <w:r w:rsidRPr="00D541F7">
              <w:rPr>
                <w:rFonts w:ascii="Verdana" w:eastAsia="Times New Roman" w:hAnsi="Verdana" w:cs="Times New Roman"/>
                <w:color w:val="999999"/>
                <w:sz w:val="14"/>
                <w:szCs w:val="14"/>
                <w:lang w:eastAsia="en-GB"/>
              </w:rPr>
              <w:t xml:space="preserve"> - Please see </w:t>
            </w:r>
            <w:hyperlink r:id="rId13" w:history="1">
              <w:r w:rsidRPr="00D541F7">
                <w:rPr>
                  <w:rFonts w:ascii="Verdana" w:eastAsia="Times New Roman" w:hAnsi="Verdana" w:cs="Times New Roman"/>
                  <w:color w:val="4999CC"/>
                  <w:sz w:val="14"/>
                  <w:szCs w:val="14"/>
                  <w:u w:val="single"/>
                  <w:lang w:eastAsia="en-GB"/>
                </w:rPr>
                <w:t>Contact page</w:t>
              </w:r>
            </w:hyperlink>
            <w:r w:rsidRPr="00D541F7">
              <w:rPr>
                <w:rFonts w:ascii="Verdana" w:eastAsia="Times New Roman" w:hAnsi="Verdana" w:cs="Times New Roman"/>
                <w:color w:val="999999"/>
                <w:sz w:val="14"/>
                <w:szCs w:val="14"/>
                <w:lang w:eastAsia="en-GB"/>
              </w:rPr>
              <w:t xml:space="preserve"> for Burns marketing consultant details</w:t>
            </w:r>
          </w:p>
        </w:tc>
      </w:tr>
      <w:tr w:rsidR="00D541F7" w:rsidRPr="00D541F7" w:rsidTr="00D541F7">
        <w:trPr>
          <w:tblCellSpacing w:w="0" w:type="dxa"/>
          <w:jc w:val="center"/>
        </w:trPr>
        <w:tc>
          <w:tcPr>
            <w:tcW w:w="0" w:type="auto"/>
            <w:shd w:val="clear" w:color="auto" w:fill="000000"/>
            <w:vAlign w:val="center"/>
            <w:hideMark/>
          </w:tcPr>
          <w:p w:rsidR="00D541F7" w:rsidRPr="00D541F7" w:rsidRDefault="00D541F7" w:rsidP="00D541F7">
            <w:pPr>
              <w:spacing w:after="0" w:line="240" w:lineRule="auto"/>
              <w:rPr>
                <w:rFonts w:ascii="Verdana" w:eastAsia="Times New Roman" w:hAnsi="Verdana" w:cs="Times New Roman"/>
                <w:color w:val="000000"/>
                <w:sz w:val="17"/>
                <w:szCs w:val="17"/>
                <w:lang w:eastAsia="en-GB"/>
              </w:rPr>
            </w:pPr>
            <w:r w:rsidRPr="00D541F7">
              <w:rPr>
                <w:rFonts w:ascii="Verdana" w:eastAsia="Times New Roman" w:hAnsi="Verdana" w:cs="Times New Roman"/>
                <w:color w:val="000000"/>
                <w:sz w:val="17"/>
                <w:szCs w:val="17"/>
                <w:lang w:eastAsia="en-GB"/>
              </w:rPr>
              <w:t> </w:t>
            </w:r>
          </w:p>
        </w:tc>
      </w:tr>
    </w:tbl>
    <w:p w:rsidR="00025021" w:rsidRDefault="00025021"/>
    <w:sectPr w:rsidR="00025021" w:rsidSect="000250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41F7"/>
    <w:rsid w:val="00025021"/>
    <w:rsid w:val="00D541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21"/>
  </w:style>
  <w:style w:type="paragraph" w:styleId="Heading1">
    <w:name w:val="heading 1"/>
    <w:basedOn w:val="Normal"/>
    <w:link w:val="Heading1Char"/>
    <w:uiPriority w:val="9"/>
    <w:qFormat/>
    <w:rsid w:val="00D541F7"/>
    <w:pPr>
      <w:spacing w:before="100" w:beforeAutospacing="1" w:after="0" w:line="240" w:lineRule="auto"/>
      <w:outlineLvl w:val="0"/>
    </w:pPr>
    <w:rPr>
      <w:rFonts w:ascii="Arial Narrow" w:eastAsia="Times New Roman" w:hAnsi="Arial Narrow" w:cs="Times New Roman"/>
      <w:color w:val="000000"/>
      <w:spacing w:val="-7"/>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1F7"/>
    <w:rPr>
      <w:rFonts w:ascii="Arial Narrow" w:eastAsia="Times New Roman" w:hAnsi="Arial Narrow" w:cs="Times New Roman"/>
      <w:color w:val="000000"/>
      <w:spacing w:val="-7"/>
      <w:kern w:val="36"/>
      <w:sz w:val="45"/>
      <w:szCs w:val="45"/>
      <w:lang w:eastAsia="en-GB"/>
    </w:rPr>
  </w:style>
  <w:style w:type="character" w:styleId="Hyperlink">
    <w:name w:val="Hyperlink"/>
    <w:basedOn w:val="DefaultParagraphFont"/>
    <w:uiPriority w:val="99"/>
    <w:semiHidden/>
    <w:unhideWhenUsed/>
    <w:rsid w:val="00D541F7"/>
    <w:rPr>
      <w:color w:val="4999CC"/>
      <w:u w:val="single"/>
    </w:rPr>
  </w:style>
  <w:style w:type="paragraph" w:customStyle="1" w:styleId="style2">
    <w:name w:val="style2"/>
    <w:basedOn w:val="Normal"/>
    <w:rsid w:val="00D541F7"/>
    <w:pPr>
      <w:spacing w:before="100" w:beforeAutospacing="1" w:after="100" w:afterAutospacing="1" w:line="240" w:lineRule="auto"/>
    </w:pPr>
    <w:rPr>
      <w:rFonts w:ascii="Times New Roman" w:eastAsia="Times New Roman" w:hAnsi="Times New Roman" w:cs="Times New Roman"/>
      <w:color w:val="999999"/>
      <w:sz w:val="14"/>
      <w:szCs w:val="14"/>
      <w:lang w:eastAsia="en-GB"/>
    </w:rPr>
  </w:style>
  <w:style w:type="paragraph" w:styleId="NormalWeb">
    <w:name w:val="Normal (Web)"/>
    <w:basedOn w:val="Normal"/>
    <w:uiPriority w:val="99"/>
    <w:unhideWhenUsed/>
    <w:rsid w:val="00D541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54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1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904344">
      <w:bodyDiv w:val="1"/>
      <w:marLeft w:val="0"/>
      <w:marRight w:val="0"/>
      <w:marTop w:val="21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burnsguitars.com/contact.php" TargetMode="External"/><Relationship Id="rId3" Type="http://schemas.openxmlformats.org/officeDocument/2006/relationships/webSettings" Target="webSettings.xml"/><Relationship Id="rId7" Type="http://schemas.openxmlformats.org/officeDocument/2006/relationships/hyperlink" Target="http://www.burnsguitars.com/dreamgold.php" TargetMode="External"/><Relationship Id="rId12" Type="http://schemas.openxmlformats.org/officeDocument/2006/relationships/hyperlink" Target="http://www.facebook.com/pages/Burns-Guitar/1060403327974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rnsguitars.com/reviewsarticles.php" TargetMode="External"/><Relationship Id="rId11" Type="http://schemas.openxmlformats.org/officeDocument/2006/relationships/hyperlink" Target="mailto:info@burnsguitars.com"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mailto:dealer_enquiries@burnsguitars.com" TargetMode="External"/><Relationship Id="rId4" Type="http://schemas.openxmlformats.org/officeDocument/2006/relationships/image" Target="media/image1.gif"/><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Alston</dc:creator>
  <cp:keywords/>
  <dc:description/>
  <cp:lastModifiedBy>william Alston</cp:lastModifiedBy>
  <cp:revision>2</cp:revision>
  <dcterms:created xsi:type="dcterms:W3CDTF">2015-07-08T12:33:00Z</dcterms:created>
  <dcterms:modified xsi:type="dcterms:W3CDTF">2015-07-08T12:33:00Z</dcterms:modified>
</cp:coreProperties>
</file>